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500 mm, Donkergrijs, Antibac</w:t>
      </w:r>
    </w:p>
    <w:p/>
    <w:p/>
    <w:p>
      <w:pPr/>
      <w:r>
        <w:rPr>
          <w:sz w:val="22"/>
          <w:szCs w:val="22"/>
        </w:rPr>
        <w:t xml:space="preserve">Artikelnummer: 4300341xxx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