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Douchegordijn, 1 x 2400 x 2000 mm, Wit ovaal patroon</w:t>
      </w:r>
    </w:p>
    <w:p/>
    <w:p/>
    <w:p>
      <w:pPr/>
      <w:r>
        <w:rPr>
          <w:sz w:val="22"/>
          <w:szCs w:val="22"/>
        </w:rPr>
        <w:t xml:space="preserve">Artikelnummer: 0787350xxx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Douchegordijnstangen</w:t>
      </w:r>
    </w:p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met messing vernikkelde ogen voor gordijnringen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2400 mm</w:t>
      </w:r>
    </w:p>
    <w:p>
      <w:pPr/>
      <w:r>
        <w:rPr>
          <w:sz w:val="22"/>
          <w:szCs w:val="22"/>
        </w:rPr>
        <w:t xml:space="preserve">Hoogte : 2000 mm</w:t>
      </w:r>
    </w:p>
    <w:p>
      <w:pPr/>
      <w:r>
        <w:rPr>
          <w:sz w:val="22"/>
          <w:szCs w:val="22"/>
        </w:rPr>
        <w:t xml:space="preserve">Aantal ogen : 16 St.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Kleur : Wit ovaal patroon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2026-07-11T00:02:01+00:00</dcterms:created>
  <dcterms:modified xsi:type="dcterms:W3CDTF">2026-07-11T00:02:01+00:00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