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Verbindingsmoer, 30 x 20 x 20 mm, Kleurloos</w:t>
      </w:r>
    </w:p>
    <w:p/>
    <w:p/>
    <w:p>
      <w:pPr/>
      <w:r>
        <w:rPr>
          <w:sz w:val="22"/>
          <w:szCs w:val="22"/>
        </w:rPr>
        <w:t xml:space="preserve">Artikelnummer: 0289320xxx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losse onderdelen voor de bovenste riem</w:t>
      </w:r>
    </w:p>
    <w:p>
      <w:pPr/>
      <w:r>
        <w:rPr>
          <w:sz w:val="22"/>
          <w:szCs w:val="22"/>
        </w:rPr>
        <w:t xml:space="preserve">Buiselement bestaat uit nylon buis, stalen buis, draadstang, verbindingsmoer en afstandsklemmen</w:t>
      </w:r>
    </w:p>
    <w:p>
      <w:pPr/>
      <w:r>
        <w:rPr>
          <w:sz w:val="22"/>
          <w:szCs w:val="22"/>
        </w:rPr>
        <w:t xml:space="preserve">een andere draadstang is verbonden met de verbindingsmoer 0289320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Verbindingsmoer</w:t>
      </w:r>
    </w:p>
    <w:p>
      <w:pPr/>
      <w:r>
        <w:rPr>
          <w:sz w:val="22"/>
          <w:szCs w:val="22"/>
        </w:rPr>
        <w:t xml:space="preserve">Productgroep : 2600</w:t>
      </w:r>
    </w:p>
    <w:p>
      <w:pPr/>
      <w:r>
        <w:rPr>
          <w:sz w:val="22"/>
          <w:szCs w:val="22"/>
        </w:rPr>
        <w:t xml:space="preserve">Lengte : 30 mm</w:t>
      </w:r>
    </w:p>
    <w:p>
      <w:pPr/>
      <w:r>
        <w:rPr>
          <w:sz w:val="22"/>
          <w:szCs w:val="22"/>
        </w:rPr>
        <w:t xml:space="preserve">Breedte : 20 mm</w:t>
      </w:r>
    </w:p>
    <w:p>
      <w:pPr/>
      <w:r>
        <w:rPr>
          <w:sz w:val="22"/>
          <w:szCs w:val="22"/>
        </w:rPr>
        <w:t xml:space="preserve">Hoogte : 20 mm</w:t>
      </w:r>
    </w:p>
    <w:p>
      <w:pPr/>
      <w:r>
        <w:rPr>
          <w:sz w:val="22"/>
          <w:szCs w:val="22"/>
        </w:rPr>
        <w:t xml:space="preserve">Materiaal : Staal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2026-10-19T23:52:17+00:00</dcterms:created>
  <dcterms:modified xsi:type="dcterms:W3CDTF">2026-10-19T23:52:17+00:00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