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Accoudoirs, pour montage ultérieur, 371 x 223 x 254 mm, Ascento Gris foncé</w:t>
      </w:r>
    </w:p>
    <w:p/>
    <w:p/>
    <w:p>
      <w:pPr/>
      <w:r>
        <w:rPr>
          <w:sz w:val="22"/>
          <w:szCs w:val="22"/>
        </w:rPr>
        <w:t xml:space="preserve">Numéro d'article : 8750002xxx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Pour les sièges pliants Ascento</w:t>
      </w:r>
    </w:p>
    <w:p>
      <w:pPr/>
      <w:r>
        <w:rPr>
          <w:sz w:val="22"/>
          <w:szCs w:val="22"/>
        </w:rPr>
        <w:t xml:space="preserve">Les accoudoirs peuvent être relevés et abaissés indépendamment l’un de l’autre</w:t>
      </w:r>
    </w:p>
    <w:p>
      <w:pPr/>
      <w:r>
        <w:rPr>
          <w:sz w:val="22"/>
          <w:szCs w:val="22"/>
        </w:rPr>
        <w:t xml:space="preserve">Se bloque en position relevée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Accoudoirs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371 mm</w:t>
      </w:r>
    </w:p>
    <w:p>
      <w:pPr/>
      <w:r>
        <w:rPr>
          <w:sz w:val="22"/>
          <w:szCs w:val="22"/>
        </w:rPr>
        <w:t xml:space="preserve">Largeur : 223 mm</w:t>
      </w:r>
    </w:p>
    <w:p>
      <w:pPr/>
      <w:r>
        <w:rPr>
          <w:sz w:val="22"/>
          <w:szCs w:val="22"/>
        </w:rPr>
        <w:t xml:space="preserve">Hauteur : 254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2026-08-01T15:13:12+00:00</dcterms:created>
  <dcterms:modified xsi:type="dcterms:W3CDTF">2026-08-01T15:13:12+00:00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