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Accoudoirs, pour montage ultérieur, 371 x 223 x 254 mm, Ascento Gris foncé</w:t>
      </w:r>
    </w:p>
    <w:p/>
    <w:p/>
    <w:p>
      <w:pPr/>
      <w:r>
        <w:rPr>
          <w:sz w:val="22"/>
          <w:szCs w:val="22"/>
        </w:rPr>
        <w:t xml:space="preserve">Numéro d'article : 8750002xxx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Pour les sièges pliants Ascento</w:t>
      </w:r>
    </w:p>
    <w:p>
      <w:pPr/>
      <w:r>
        <w:rPr>
          <w:sz w:val="22"/>
          <w:szCs w:val="22"/>
        </w:rPr>
        <w:t xml:space="preserve">Les accoudoirs peuvent être relevés et abaissés indépendamment l’un de l’autre</w:t>
      </w:r>
    </w:p>
    <w:p>
      <w:pPr/>
      <w:r>
        <w:rPr>
          <w:sz w:val="22"/>
          <w:szCs w:val="22"/>
        </w:rPr>
        <w:t xml:space="preserve">Se bloque en position relevée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Accoudoirs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371 mm</w:t>
      </w:r>
    </w:p>
    <w:p>
      <w:pPr/>
      <w:r>
        <w:rPr>
          <w:sz w:val="22"/>
          <w:szCs w:val="22"/>
        </w:rPr>
        <w:t xml:space="preserve">Largeur : 223 mm</w:t>
      </w:r>
    </w:p>
    <w:p>
      <w:pPr/>
      <w:r>
        <w:rPr>
          <w:sz w:val="22"/>
          <w:szCs w:val="22"/>
        </w:rPr>
        <w:t xml:space="preserve">Hauteur : 254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2026-10-09T04:05:47+00:00</dcterms:created>
  <dcterms:modified xsi:type="dcterms:W3CDTF">2026-10-09T04:05:47+00:00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