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Accoudoirs, pour montage ultérieur, 590 x 510 x 100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les sièges suspendus Care</w:t>
      </w:r>
    </w:p>
    <w:p>
      <w:pPr/>
      <w:r>
        <w:rPr>
          <w:sz w:val="22"/>
          <w:szCs w:val="22"/>
        </w:rPr>
        <w:t xml:space="preserve">Accoudoirs longs, les extrémités sont alignées sur l‘extrémité de l‘assise</w:t>
      </w:r>
    </w:p>
    <w:p>
      <w:pPr/>
      <w:r>
        <w:rPr>
          <w:sz w:val="22"/>
          <w:szCs w:val="22"/>
        </w:rPr>
        <w:t xml:space="preserve">Les accoudoirs peuvent être relevés et abaissés indépendamment l’un de l’autre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système de freinage réglable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Accoudoirs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590 mm</w:t>
      </w:r>
    </w:p>
    <w:p>
      <w:pPr/>
      <w:r>
        <w:rPr>
          <w:sz w:val="22"/>
          <w:szCs w:val="22"/>
        </w:rPr>
        <w:t xml:space="preserve">Largeur : 510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2026-08-01T15:12:25+00:00</dcterms:created>
  <dcterms:modified xsi:type="dcterms:W3CDTF">2026-08-01T15:12:25+00:00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