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pour barre d’appui rabattable, 825 x 150 x 200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Dossier monté sur plaque de montage</w:t>
      </w:r>
    </w:p>
    <w:p>
      <w:pPr/>
      <w:r>
        <w:rPr>
          <w:sz w:val="22"/>
          <w:szCs w:val="22"/>
        </w:rPr>
        <w:t xml:space="preserve">Pour la fixation de deux poignées d'appui Cavere Care sans plaque d'accrochage et de poignées d'appui Cavere Care avec boutons-poussoirs électriques, raccordement caché avec rosace</w:t>
      </w:r>
    </w:p>
    <w:p>
      <w:pPr/>
      <w:r>
        <w:rPr>
          <w:sz w:val="22"/>
          <w:szCs w:val="22"/>
        </w:rPr>
        <w:t xml:space="preserve">Distance de fixation entre les poignées de soutien rabattables 700 mm</w:t>
      </w:r>
    </w:p>
    <w:p>
      <w:pPr/>
      <w:r>
        <w:rPr>
          <w:sz w:val="22"/>
          <w:szCs w:val="22"/>
        </w:rPr>
        <w:t xml:space="preserve">Pour toute commande de barres d’appui rabattable avec bouton de commande à fixer sur un dossier avec plaque de montage, les plaques de fixation des barres d’appui sont déduites.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barre d’appui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200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