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Vasque, avec trop-plein, avec perçage pour robinetterie, 550 x 600 x 120 mm, Cavere Blanc satiné</w:t>
      </w:r>
    </w:p>
    <w:p/>
    <w:p/>
    <w:p>
      <w:pPr/>
      <w:r>
        <w:rPr>
          <w:sz w:val="22"/>
          <w:szCs w:val="22"/>
        </w:rPr>
        <w:t xml:space="preserve">Numéro d'article : 7530650xxx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Cuvette ergonomique élargie en partie avant</w:t>
      </w:r>
    </w:p>
    <w:p>
      <w:pPr/>
      <w:r>
        <w:rPr>
          <w:sz w:val="22"/>
          <w:szCs w:val="22"/>
        </w:rPr>
        <w:t xml:space="preserve">Angles arrondis avec surface plane pour appui et soutien confortable des bras</w:t>
      </w:r>
    </w:p>
    <w:p>
      <w:pPr/>
      <w:r>
        <w:rPr>
          <w:sz w:val="22"/>
          <w:szCs w:val="22"/>
        </w:rPr>
        <w:t xml:space="preserve">Avec surface de rangement pour les ustensiles de bain</w:t>
      </w:r>
    </w:p>
    <w:p>
      <w:pPr/>
      <w:r>
        <w:rPr>
          <w:sz w:val="22"/>
          <w:szCs w:val="22"/>
        </w:rPr>
        <w:t xml:space="preserve">Avec deux poignées latérales, également utilisables comme porte-serviettes</w:t>
      </w:r>
    </w:p>
    <w:p>
      <w:pPr/>
      <w:r>
        <w:rPr>
          <w:sz w:val="22"/>
          <w:szCs w:val="22"/>
        </w:rPr>
        <w:t xml:space="preserve">Pour fixation par vis à double filetage</w:t>
      </w:r>
    </w:p>
    <w:p>
      <w:pPr/>
      <w:r>
        <w:rPr>
          <w:sz w:val="22"/>
          <w:szCs w:val="22"/>
        </w:rPr>
        <w:t xml:space="preserve">Kit pour réparation d’impacts sur la vasque, livrable sur demande</w:t>
      </w:r>
    </w:p>
    <w:p>
      <w:pPr/>
      <w:r>
        <w:rPr>
          <w:sz w:val="22"/>
          <w:szCs w:val="22"/>
        </w:rPr>
        <w:t xml:space="preserve">Fond plat permettant l’accès aux fauteuils roulants suivant la norme DIN 18040 et ÖNORM B1600/1601</w:t>
      </w:r>
    </w:p>
    <w:p>
      <w:pPr/>
      <w:r>
        <w:rPr>
          <w:sz w:val="22"/>
          <w:szCs w:val="22"/>
        </w:rPr>
        <w:t xml:space="preserve">Livré avec kit de trop-plein</w:t>
      </w:r>
    </w:p>
    <w:p>
      <w:pPr/>
      <w:r>
        <w:rPr>
          <w:sz w:val="22"/>
          <w:szCs w:val="22"/>
        </w:rPr>
        <w:t xml:space="preserve">Sans robinetterie, ni siphon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Vasque</w:t>
      </w:r>
    </w:p>
    <w:p>
      <w:pPr/>
      <w:r>
        <w:rPr>
          <w:sz w:val="22"/>
          <w:szCs w:val="22"/>
        </w:rPr>
        <w:t xml:space="preserve">Version du produit : avec trop-plein, avec perçage pour robinetterie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550 mm</w:t>
      </w:r>
    </w:p>
    <w:p>
      <w:pPr/>
      <w:r>
        <w:rPr>
          <w:sz w:val="22"/>
          <w:szCs w:val="22"/>
        </w:rPr>
        <w:t xml:space="preserve">Largeur : 600 mm</w:t>
      </w:r>
    </w:p>
    <w:p>
      <w:pPr/>
      <w:r>
        <w:rPr>
          <w:sz w:val="22"/>
          <w:szCs w:val="22"/>
        </w:rPr>
        <w:t xml:space="preserve">Hauteur : 120 mm</w:t>
      </w:r>
    </w:p>
    <w:p>
      <w:pPr/>
      <w:r>
        <w:rPr>
          <w:sz w:val="22"/>
          <w:szCs w:val="22"/>
        </w:rPr>
        <w:t xml:space="preserve">Matériau : fonte minérale</w:t>
      </w:r>
    </w:p>
    <w:p>
      <w:pPr/>
      <w:r>
        <w:rPr>
          <w:sz w:val="22"/>
          <w:szCs w:val="22"/>
        </w:rPr>
        <w:t xml:space="preserve">Surface : brillant, non poreux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2026-10-02T15:15:08+00:00</dcterms:created>
  <dcterms:modified xsi:type="dcterms:W3CDTF">2026-10-02T15:15:08+00:00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