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Porte-rouleau, pour poignée de sécurité et poignée de maintien, montage ultérieur, 130 x 48 x 115 mm, Cavere Anthracite métallisé</w:t>
      </w:r>
    </w:p>
    <w:p/>
    <w:p/>
    <w:p>
      <w:pPr/>
      <w:r>
        <w:rPr>
          <w:sz w:val="22"/>
          <w:szCs w:val="22"/>
        </w:rPr>
        <w:t xml:space="preserve">Numéro d'article : 7449120xxx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poignée de sécurité et poignée de maintien,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130 mm</w:t>
      </w:r>
    </w:p>
    <w:p>
      <w:pPr/>
      <w:r>
        <w:rPr>
          <w:sz w:val="22"/>
          <w:szCs w:val="22"/>
        </w:rPr>
        <w:t xml:space="preserve">Largeur : 48 mm</w:t>
      </w:r>
    </w:p>
    <w:p>
      <w:pPr/>
      <w:r>
        <w:rPr>
          <w:sz w:val="22"/>
          <w:szCs w:val="22"/>
        </w:rPr>
        <w:t xml:space="preserve">Hauteur : 115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