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135°, gauche, 350 x 350 mm, Rouge-Blanc</w:t>
      </w:r>
    </w:p>
    <w:p/>
    <w:p/>
    <w:p>
      <w:pPr/>
      <w:r>
        <w:rPr>
          <w:sz w:val="22"/>
          <w:szCs w:val="22"/>
        </w:rPr>
        <w:t xml:space="preserve">Numéro d'article 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350 mm</w:t>
      </w:r>
    </w:p>
    <w:p>
      <w:pPr/>
      <w:r>
        <w:rPr>
          <w:sz w:val="22"/>
          <w:szCs w:val="22"/>
        </w:rPr>
        <w:t xml:space="preserve">Entraxe a3 : 350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2026-09-17T13:20:20+00:00</dcterms:created>
  <dcterms:modified xsi:type="dcterms:W3CDTF">2026-09-17T13:20:20+00:00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