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Pictogramme, PMR, 125 x 125 x 2 mm, Satiné</w:t>
      </w:r>
    </w:p>
    <w:p/>
    <w:p/>
    <w:p>
      <w:pPr/>
      <w:r>
        <w:rPr>
          <w:sz w:val="22"/>
          <w:szCs w:val="22"/>
        </w:rPr>
        <w:t xml:space="preserve">Numéro d'article : 2510040xxx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le marquage des locaux sanitaires</w:t>
      </w:r>
    </w:p>
    <w:p>
      <w:pPr/>
      <w:r>
        <w:rPr>
          <w:sz w:val="22"/>
          <w:szCs w:val="22"/>
        </w:rPr>
        <w:t xml:space="preserve">Avec impression inaltérable en coloris noir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Pictogramme</w:t>
      </w:r>
    </w:p>
    <w:p>
      <w:pPr/>
      <w:r>
        <w:rPr>
          <w:sz w:val="22"/>
          <w:szCs w:val="22"/>
        </w:rPr>
        <w:t xml:space="preserve">Version du produit : PMR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125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