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NT.SP/RPH, Incolore</w:t>
      </w:r>
    </w:p>
    <w:p/>
    <w:p/>
    <w:p>
      <w:pPr/>
      <w:r>
        <w:rPr>
          <w:sz w:val="22"/>
          <w:szCs w:val="22"/>
        </w:rPr>
        <w:t xml:space="preserve">Numéro d'article : 2290316xxx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la fixation des plaques de séparation au support de plaque tubulaire et l'entaillage au tube</w:t>
      </w:r>
    </w:p>
    <w:p>
      <w:pPr/>
      <w:r>
        <w:rPr>
          <w:sz w:val="22"/>
          <w:szCs w:val="22"/>
        </w:rPr>
        <w:t xml:space="preserve">Composé d'une douille filetée M5 et d'une vis M5 x 12 mm et d'une goupille cannelée 6 x 10 mm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NT.SP/RPH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2026-09-28T00:26:47+00:00</dcterms:created>
  <dcterms:modified xsi:type="dcterms:W3CDTF">2026-09-28T00:26:47+00:00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