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NT.SP/RPH, Incolore</w:t>
      </w:r>
    </w:p>
    <w:p/>
    <w:p/>
    <w:p>
      <w:pPr/>
      <w:r>
        <w:rPr>
          <w:sz w:val="22"/>
          <w:szCs w:val="22"/>
        </w:rPr>
        <w:t xml:space="preserve">Numéro d'article : 2290316xxx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des plaques de séparation au support de plaque tubulaire et l'entaillage au tube</w:t>
      </w:r>
    </w:p>
    <w:p>
      <w:pPr/>
      <w:r>
        <w:rPr>
          <w:sz w:val="22"/>
          <w:szCs w:val="22"/>
        </w:rPr>
        <w:t xml:space="preserve">Composé d'une douille filetée M5 et d'une vis M5 x 12 mm et d'une goupille cannelée 6 x 10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NT.SP/RPH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2026-06-22T08:55:44+00:00</dcterms:created>
  <dcterms:modified xsi:type="dcterms:W3CDTF">2026-06-22T08:55:44+00:00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