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NT.SP/STF, Incolore</w:t>
      </w:r>
    </w:p>
    <w:p/>
    <w:p/>
    <w:p>
      <w:pPr/>
      <w:r>
        <w:rPr>
          <w:sz w:val="22"/>
          <w:szCs w:val="22"/>
        </w:rPr>
        <w:t xml:space="preserve">Numéro d'article 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fixer les panneaux de séparation au pied de support</w:t>
      </w:r>
    </w:p>
    <w:p>
      <w:pPr/>
      <w:r>
        <w:rPr>
          <w:sz w:val="22"/>
          <w:szCs w:val="22"/>
        </w:rPr>
        <w:t xml:space="preserve">Composé d'une douille filetée M5 et d'une vis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