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 FR, avec rosaces, 410 x 565 x 440 mm, Gris foncé, Rembourrage noir</w:t>
      </w:r>
    </w:p>
    <w:p/>
    <w:p/>
    <w:p>
      <w:pPr/>
      <w:r>
        <w:rPr>
          <w:sz w:val="22"/>
          <w:szCs w:val="22"/>
        </w:rPr>
        <w:t xml:space="preserve">Numéro d'article 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565 mm</w:t>
      </w:r>
    </w:p>
    <w:p>
      <w:pPr/>
      <w:r>
        <w:rPr>
          <w:sz w:val="22"/>
          <w:szCs w:val="22"/>
        </w:rPr>
        <w:t xml:space="preserve">Hauteur : 440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