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en deux parties, 1 x 1200 / 2100 x 2000 mm, Blanc</w:t>
      </w:r>
    </w:p>
    <w:p/>
    <w:p/>
    <w:p>
      <w:pPr/>
      <w:r>
        <w:rPr>
          <w:sz w:val="22"/>
          <w:szCs w:val="22"/>
        </w:rPr>
        <w:t xml:space="preserve">Numéro d'article : 0787610xxx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Version du produit : en deux parties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1200 mm</w:t>
      </w:r>
    </w:p>
    <w:p>
      <w:pPr/>
      <w:r>
        <w:rPr>
          <w:sz w:val="22"/>
          <w:szCs w:val="22"/>
        </w:rPr>
        <w:t xml:space="preserve">Largeur Partie 2 : 2100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24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