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pour montage ultérieur, 141 x 39 x 117 mm, Blanc</w:t>
      </w:r>
    </w:p>
    <w:p/>
    <w:p/>
    <w:p>
      <w:pPr/>
      <w:r>
        <w:rPr>
          <w:sz w:val="22"/>
          <w:szCs w:val="22"/>
        </w:rPr>
        <w:t xml:space="preserve">Numéro d'article 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Ne convient pas aux poignées d'appui rabattables avec un montant (0437...) et aux poignées coudées de la série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141 mm</w:t>
      </w:r>
    </w:p>
    <w:p>
      <w:pPr/>
      <w:r>
        <w:rPr>
          <w:sz w:val="22"/>
          <w:szCs w:val="22"/>
        </w:rPr>
        <w:t xml:space="preserve">Largeur : 39 mm</w:t>
      </w:r>
    </w:p>
    <w:p>
      <w:pPr/>
      <w:r>
        <w:rPr>
          <w:sz w:val="22"/>
          <w:szCs w:val="22"/>
        </w:rPr>
        <w:t xml:space="preserve">Hauteur : 117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