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Porte-rouleau, pour montage ultérieur, 141 x 39 x 117 mm, Gris foncé</w:t>
      </w:r>
    </w:p>
    <w:p/>
    <w:p/>
    <w:p>
      <w:pPr/>
      <w:r>
        <w:rPr>
          <w:sz w:val="22"/>
          <w:szCs w:val="22"/>
        </w:rPr>
        <w:t xml:space="preserve">Numéro d'article : 0449120xxx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Nylon Care Barre d’appui rabattable, Barre d’appui murale et Poignée de maintien coudée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Ne convient pas aux poignées d'appui rabattables avec un montant (0437...) et aux poignées coudées de la série Nylon Care 400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141 mm</w:t>
      </w:r>
    </w:p>
    <w:p>
      <w:pPr/>
      <w:r>
        <w:rPr>
          <w:sz w:val="22"/>
          <w:szCs w:val="22"/>
        </w:rPr>
        <w:t xml:space="preserve">Largeur : 39 mm</w:t>
      </w:r>
    </w:p>
    <w:p>
      <w:pPr/>
      <w:r>
        <w:rPr>
          <w:sz w:val="22"/>
          <w:szCs w:val="22"/>
        </w:rPr>
        <w:t xml:space="preserve">Hauteur : 117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2026-10-04T14:52:45+00:00</dcterms:created>
  <dcterms:modified xsi:type="dcterms:W3CDTF">2026-10-04T14:52:45+00:00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