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14, pour la fixation de la maçonnerie creuse (avec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0448890xxx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Inox Care siège rabattable Nylon Care 300 siège rabattable Nylon Care 400 siège rabattable, siège rabattable avec pied escamotable Special Care Adipositas siège rabattable</w:t>
      </w:r>
    </w:p>
    <w:p>
      <w:pPr/>
      <w:r>
        <w:rPr>
          <w:sz w:val="22"/>
          <w:szCs w:val="22"/>
        </w:rPr>
        <w:t xml:space="preserve">Attention: prduit avec date de péremption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(avec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4 x vis à tête hexagonale 4 x douille de tamisage Ø 20 x 100 4 x douilles à filetage intérieur en acier Ø 15 x 75 / M10 1 x cartouche d'injection de mortier composite 145cm³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2026-09-20T11:04:34+00:00</dcterms:created>
  <dcterms:modified xsi:type="dcterms:W3CDTF">2026-09-20T11:04:34+00:00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