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 MS 4.8 H 14, pour la fixation de la maçonnerie creuse (avec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0448890xxx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Inox Care siège rabattable Nylon Care 300 siège rabattable Nylon Care 400 siège rabattable, siège rabattable avec pied escamotable Special Care Adipositas siège rabattable</w:t>
      </w:r>
    </w:p>
    <w:p>
      <w:pPr/>
      <w:r>
        <w:rPr>
          <w:sz w:val="22"/>
          <w:szCs w:val="22"/>
        </w:rPr>
        <w:t xml:space="preserve">Attention: prduit avec date de péremption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(avec cartouche de mortier de scellement)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Matériaux &amp; livraison : 4 x vis à tête hexagonale 4 x douille de tamisage Ø 20 x 100 4 x douilles à filetage intérieur en acier Ø 15 x 75 / M10 1 x cartouche d'injection de mortier composite 145cm³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2026-08-01T17:51:43+00:00</dcterms:created>
  <dcterms:modified xsi:type="dcterms:W3CDTF">2026-08-01T17:51:43+00:00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