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Écrou, 30 x 20 x 20 mm, Incolore</w:t>
      </w:r>
    </w:p>
    <w:p/>
    <w:p/>
    <w:p>
      <w:pPr/>
      <w:r>
        <w:rPr>
          <w:sz w:val="22"/>
          <w:szCs w:val="22"/>
        </w:rPr>
        <w:t xml:space="preserve">Numéro d'article : 0289320xxx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L'élément tubulaire est composé d'un tube en nylon, d'un tube en acier, d'une tige filetée, d'un écrou de liaison et de clips d'écartement</w:t>
      </w:r>
    </w:p>
    <w:p>
      <w:pPr/>
      <w:r>
        <w:rPr>
          <w:sz w:val="22"/>
          <w:szCs w:val="22"/>
        </w:rPr>
        <w:t xml:space="preserve">Une autre tige filetée est raccordée avec l'écrou de liaison 0289320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Écrou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30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20 mm</w:t>
      </w:r>
    </w:p>
    <w:p>
      <w:pPr/>
      <w:r>
        <w:rPr>
          <w:sz w:val="22"/>
          <w:szCs w:val="22"/>
        </w:rPr>
        <w:t xml:space="preserve">Matériau : acier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2026-08-01T13:21:57+00:00</dcterms:created>
  <dcterms:modified xsi:type="dcterms:W3CDTF">2026-08-01T13:21:57+00:00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