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Vasque, avec trop-plein, avec perçage pour robinetterie, 11 l, 550 x 700 x 130 mm, Blanc</w:t>
      </w:r>
    </w:p>
    <w:p/>
    <w:p/>
    <w:p>
      <w:pPr/>
      <w:r>
        <w:rPr>
          <w:sz w:val="22"/>
          <w:szCs w:val="22"/>
        </w:rPr>
        <w:t xml:space="preserve">Artikelnummer: 3501505xxx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Cuvette ergonomique élargie en partie avant</w:t>
      </w:r>
    </w:p>
    <w:p>
      <w:pPr/>
      <w:r>
        <w:rPr>
          <w:sz w:val="22"/>
          <w:szCs w:val="22"/>
        </w:rPr>
        <w:t xml:space="preserve">Angles arrondis avec surface plane pour appui et soutien confortable des bras</w:t>
      </w:r>
    </w:p>
    <w:p>
      <w:pPr/>
      <w:r>
        <w:rPr>
          <w:sz w:val="22"/>
          <w:szCs w:val="22"/>
        </w:rPr>
        <w:t xml:space="preserve">Avec surface de rangement pour les ustensiles de bain</w:t>
      </w:r>
    </w:p>
    <w:p>
      <w:pPr/>
      <w:r>
        <w:rPr>
          <w:sz w:val="22"/>
          <w:szCs w:val="22"/>
        </w:rPr>
        <w:t xml:space="preserve">Avec deux poignées latérales, également utilisables comme porte-serviettes</w:t>
      </w:r>
    </w:p>
    <w:p>
      <w:pPr/>
      <w:r>
        <w:rPr>
          <w:sz w:val="22"/>
          <w:szCs w:val="22"/>
        </w:rPr>
        <w:t xml:space="preserve">La poignée cachée  à l'avant assure une bonne préhension permettant de se tirer vers la vasque</w:t>
      </w:r>
    </w:p>
    <w:p>
      <w:pPr/>
      <w:r>
        <w:rPr>
          <w:sz w:val="22"/>
          <w:szCs w:val="22"/>
        </w:rPr>
        <w:t xml:space="preserve">Pour fixation par vis à double filetage</w:t>
      </w:r>
    </w:p>
    <w:p>
      <w:pPr/>
      <w:r>
        <w:rPr>
          <w:sz w:val="22"/>
          <w:szCs w:val="22"/>
        </w:rPr>
        <w:t xml:space="preserve">Kit pour réparation d’impacts sur la vasque, livrable sur demande</w:t>
      </w:r>
    </w:p>
    <w:p>
      <w:pPr/>
      <w:r>
        <w:rPr>
          <w:sz w:val="22"/>
          <w:szCs w:val="22"/>
        </w:rPr>
        <w:t xml:space="preserve">Peut être équipée avec Cavere Support de douchette horizontal 7485030, Cavere Patère 7500140, Cavere console de douche 7515250</w:t>
      </w:r>
    </w:p>
    <w:p>
      <w:pPr/>
      <w:r>
        <w:rPr>
          <w:sz w:val="22"/>
          <w:szCs w:val="22"/>
        </w:rPr>
        <w:t xml:space="preserve">Fond plat permettant l’accès aux fauteuils roulants suivant la norme DIN 18040 et ÖNORM B1600/1601</w:t>
      </w:r>
    </w:p>
    <w:p>
      <w:pPr/>
      <w:r>
        <w:rPr>
          <w:sz w:val="22"/>
          <w:szCs w:val="22"/>
        </w:rPr>
        <w:t xml:space="preserve">Livré avec kit de trop-plein</w:t>
      </w:r>
    </w:p>
    <w:p>
      <w:pPr/>
      <w:r>
        <w:rPr>
          <w:sz w:val="22"/>
          <w:szCs w:val="22"/>
        </w:rPr>
        <w:t xml:space="preserve">Sans robinetterie, ni siphon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Vasque</w:t>
      </w:r>
    </w:p>
    <w:p>
      <w:pPr/>
      <w:r>
        <w:rPr>
          <w:sz w:val="22"/>
          <w:szCs w:val="22"/>
        </w:rPr>
        <w:t xml:space="preserve">Version du produit : avec trop-plein, avec perçage pour robinetterie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550 mm</w:t>
      </w:r>
    </w:p>
    <w:p>
      <w:pPr/>
      <w:r>
        <w:rPr>
          <w:sz w:val="22"/>
          <w:szCs w:val="22"/>
        </w:rPr>
        <w:t xml:space="preserve">Largeur : 700 mm</w:t>
      </w:r>
    </w:p>
    <w:p>
      <w:pPr/>
      <w:r>
        <w:rPr>
          <w:sz w:val="22"/>
          <w:szCs w:val="22"/>
        </w:rPr>
        <w:t xml:space="preserve">Hauteur : 130 mm</w:t>
      </w:r>
    </w:p>
    <w:p>
      <w:pPr/>
      <w:r>
        <w:rPr>
          <w:sz w:val="22"/>
          <w:szCs w:val="22"/>
        </w:rPr>
        <w:t xml:space="preserve">Matériau : fonte minérale</w:t>
      </w:r>
    </w:p>
    <w:p>
      <w:pPr/>
      <w:r>
        <w:rPr>
          <w:sz w:val="22"/>
          <w:szCs w:val="22"/>
        </w:rPr>
        <w:t xml:space="preserve">Surface : brillant, non poreux</w:t>
      </w:r>
    </w:p>
    <w:p>
      <w:pPr/>
      <w:r>
        <w:rPr>
          <w:sz w:val="22"/>
          <w:szCs w:val="22"/>
        </w:rPr>
        <w:t xml:space="preserve">Capacité : 11 l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