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Pictogramme, PMR, 125 x 125 x 2 mm, Satiné</w:t>
      </w:r>
    </w:p>
    <w:p/>
    <w:p/>
    <w:p>
      <w:pPr/>
      <w:r>
        <w:rPr>
          <w:sz w:val="22"/>
          <w:szCs w:val="22"/>
        </w:rPr>
        <w:t xml:space="preserve">Artikelnummer: 2510040xxx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le marquage des locaux sanitaires</w:t>
      </w:r>
    </w:p>
    <w:p>
      <w:pPr/>
      <w:r>
        <w:rPr>
          <w:sz w:val="22"/>
          <w:szCs w:val="22"/>
        </w:rPr>
        <w:t xml:space="preserve">Avec impression inaltérable en coloris noir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Pictogramme</w:t>
      </w:r>
    </w:p>
    <w:p>
      <w:pPr/>
      <w:r>
        <w:rPr>
          <w:sz w:val="22"/>
          <w:szCs w:val="22"/>
        </w:rPr>
        <w:t xml:space="preserve">Version du produit : PMR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125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2026-07-12T12:49:11+00:00</dcterms:created>
  <dcterms:modified xsi:type="dcterms:W3CDTF">2026-07-12T12:49:11+00:00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