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Porte-serviette, orientable, 501 x 50 x 54 mm, Poli brillant</w:t>
      </w:r>
    </w:p>
    <w:p/>
    <w:p/>
    <w:p>
      <w:pPr/>
      <w:r>
        <w:rPr>
          <w:sz w:val="22"/>
          <w:szCs w:val="22"/>
        </w:rPr>
        <w:t xml:space="preserve">Artikelnummer: 2291622xxx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avec deux barres porte-serviettes</w:t>
      </w:r>
    </w:p>
    <w:p>
      <w:pPr/>
      <w:r>
        <w:rPr>
          <w:sz w:val="22"/>
          <w:szCs w:val="22"/>
        </w:rPr>
        <w:t xml:space="preserve">Inox Care comme classique robuste et intemporel avec des propriétés bactériostatiques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Avec rosaces inox Ø 55 mm pour 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Version du produit : orientable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501 mm</w:t>
      </w:r>
    </w:p>
    <w:p>
      <w:pPr/>
      <w:r>
        <w:rPr>
          <w:sz w:val="22"/>
          <w:szCs w:val="22"/>
        </w:rPr>
        <w:t xml:space="preserve">Largeur : 50 mm</w:t>
      </w:r>
    </w:p>
    <w:p>
      <w:pPr/>
      <w:r>
        <w:rPr>
          <w:sz w:val="22"/>
          <w:szCs w:val="22"/>
        </w:rPr>
        <w:t xml:space="preserve">Hauteur : 54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2026-07-12T12:16:14+00:00</dcterms:created>
  <dcterms:modified xsi:type="dcterms:W3CDTF">2026-07-12T12:16:14+00:00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