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1200 / 2100 x 2000 mm, Blanc</w:t>
      </w:r>
    </w:p>
    <w:p/>
    <w:p/>
    <w:p>
      <w:pPr/>
      <w:r>
        <w:rPr>
          <w:sz w:val="22"/>
          <w:szCs w:val="22"/>
        </w:rPr>
        <w:t xml:space="preserve">Artikelnummer: 0787610xxx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1200 mm</w:t>
      </w:r>
    </w:p>
    <w:p>
      <w:pPr/>
      <w:r>
        <w:rPr>
          <w:sz w:val="22"/>
          <w:szCs w:val="22"/>
        </w:rPr>
        <w:t xml:space="preserve">Largeur Partie 2 : 2100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24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