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Levier de réglage pour miroir inclinable, pour montage ultérieur, 15 x 157 x 218 mm, Gris foncé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Pivotant latéralement avec force de serrage réglable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Peut être installé ultérieurement sur les miroirs basculants Inox Care</w:t>
      </w:r>
    </w:p>
    <w:p>
      <w:pPr/>
      <w:r>
        <w:rPr>
          <w:sz w:val="22"/>
          <w:szCs w:val="22"/>
        </w:rPr>
        <w:t xml:space="preserve">Peut être installé ultérieurement sur les miroirs basculants Cavere Care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157 mm</w:t>
      </w:r>
    </w:p>
    <w:p>
      <w:pPr/>
      <w:r>
        <w:rPr>
          <w:sz w:val="22"/>
          <w:szCs w:val="22"/>
        </w:rPr>
        <w:t xml:space="preserve">Hauteur : 218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Additif surface : Poignée brillante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